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120" w:line="288" w:lineRule="auto"/>
        <w:jc w:val="center"/>
        <w:rPr>
          <w:rFonts w:ascii="黑体" w:hAnsi="黑体" w:eastAsia="黑体"/>
          <w:sz w:val="21"/>
          <w:szCs w:val="21"/>
        </w:rPr>
      </w:pPr>
      <w:r>
        <w:rPr>
          <w:rFonts w:hint="eastAsia" w:ascii="黑体" w:hAnsi="黑体" w:eastAsia="黑体"/>
          <w:sz w:val="21"/>
          <w:szCs w:val="21"/>
        </w:rPr>
        <w:t>表3 在公路增设或改造平面交叉道口审批审查规定和要求细化表</w:t>
      </w:r>
    </w:p>
    <w:tbl>
      <w:tblPr>
        <w:tblStyle w:val="3"/>
        <w:tblW w:w="8660" w:type="dxa"/>
        <w:tblInd w:w="98" w:type="dxa"/>
        <w:tblLayout w:type="fixed"/>
        <w:tblCellMar>
          <w:top w:w="0" w:type="dxa"/>
          <w:left w:w="108" w:type="dxa"/>
          <w:bottom w:w="0" w:type="dxa"/>
          <w:right w:w="108" w:type="dxa"/>
        </w:tblCellMar>
      </w:tblPr>
      <w:tblGrid>
        <w:gridCol w:w="1230"/>
        <w:gridCol w:w="7430"/>
      </w:tblGrid>
      <w:tr>
        <w:tblPrEx>
          <w:tblLayout w:type="fixed"/>
          <w:tblCellMar>
            <w:top w:w="0" w:type="dxa"/>
            <w:left w:w="108" w:type="dxa"/>
            <w:bottom w:w="0" w:type="dxa"/>
            <w:right w:w="108" w:type="dxa"/>
          </w:tblCellMar>
        </w:tblPrEx>
        <w:trPr>
          <w:trHeight w:val="555" w:hRule="atLeast"/>
        </w:trPr>
        <w:tc>
          <w:tcPr>
            <w:tcW w:w="123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7430" w:type="dxa"/>
            <w:tcBorders>
              <w:top w:val="single" w:color="auto" w:sz="8" w:space="0"/>
              <w:left w:val="nil"/>
              <w:bottom w:val="single" w:color="auto" w:sz="8" w:space="0"/>
              <w:right w:val="single" w:color="auto" w:sz="8" w:space="0"/>
            </w:tcBorders>
            <w:shd w:val="clear" w:color="auto" w:fill="auto"/>
            <w:vAlign w:val="center"/>
          </w:tcPr>
          <w:p>
            <w:pPr>
              <w:jc w:val="center"/>
              <w:rPr>
                <w:sz w:val="18"/>
                <w:szCs w:val="18"/>
              </w:rPr>
            </w:pPr>
            <w:r>
              <w:rPr>
                <w:rFonts w:hint="eastAsia"/>
                <w:sz w:val="18"/>
                <w:szCs w:val="18"/>
              </w:rPr>
              <w:t>规定和要求</w:t>
            </w:r>
          </w:p>
        </w:tc>
      </w:tr>
      <w:tr>
        <w:tblPrEx>
          <w:tblLayout w:type="fixed"/>
          <w:tblCellMar>
            <w:top w:w="0" w:type="dxa"/>
            <w:left w:w="108" w:type="dxa"/>
            <w:bottom w:w="0" w:type="dxa"/>
            <w:right w:w="108" w:type="dxa"/>
          </w:tblCellMar>
        </w:tblPrEx>
        <w:trPr>
          <w:trHeight w:val="2135" w:hRule="atLeast"/>
        </w:trPr>
        <w:tc>
          <w:tcPr>
            <w:tcW w:w="1230" w:type="dxa"/>
            <w:tcBorders>
              <w:top w:val="single" w:color="auto" w:sz="8" w:space="0"/>
              <w:left w:val="single" w:color="auto" w:sz="8" w:space="0"/>
              <w:right w:val="single" w:color="auto" w:sz="8" w:space="0"/>
            </w:tcBorders>
            <w:shd w:val="clear" w:color="auto" w:fill="auto"/>
            <w:vAlign w:val="center"/>
          </w:tcPr>
          <w:p>
            <w:pPr>
              <w:rPr>
                <w:sz w:val="18"/>
                <w:szCs w:val="18"/>
              </w:rPr>
            </w:pPr>
            <w:r>
              <w:rPr>
                <w:rFonts w:hint="eastAsia"/>
                <w:sz w:val="18"/>
                <w:szCs w:val="18"/>
              </w:rPr>
              <w:t>需要该审查的依据</w:t>
            </w:r>
          </w:p>
        </w:tc>
        <w:tc>
          <w:tcPr>
            <w:tcW w:w="7430" w:type="dxa"/>
            <w:tcBorders>
              <w:top w:val="nil"/>
              <w:left w:val="nil"/>
              <w:right w:val="single" w:color="auto" w:sz="8" w:space="0"/>
            </w:tcBorders>
            <w:shd w:val="clear" w:color="auto" w:fill="auto"/>
          </w:tcPr>
          <w:p>
            <w:pPr>
              <w:spacing w:line="288" w:lineRule="auto"/>
              <w:rPr>
                <w:sz w:val="18"/>
              </w:rPr>
            </w:pPr>
            <w:r>
              <w:rPr>
                <w:rFonts w:hint="eastAsia"/>
                <w:sz w:val="18"/>
              </w:rPr>
              <w:t>（一）《中华人民共和国公路法》（</w:t>
            </w:r>
            <w:r>
              <w:rPr>
                <w:rFonts w:hint="eastAsia"/>
                <w:sz w:val="18"/>
                <w:szCs w:val="18"/>
              </w:rPr>
              <w:t>2009年08月27日第十一届全国人民代表大会常务委员会第十次会议第三次修正</w:t>
            </w:r>
            <w:r>
              <w:rPr>
                <w:sz w:val="18"/>
              </w:rPr>
              <w:t>）第四十四条、第五十五条；</w:t>
            </w:r>
          </w:p>
          <w:p>
            <w:pPr>
              <w:spacing w:line="288" w:lineRule="auto"/>
              <w:rPr>
                <w:sz w:val="18"/>
              </w:rPr>
            </w:pPr>
            <w:r>
              <w:rPr>
                <w:rFonts w:hint="eastAsia"/>
                <w:sz w:val="18"/>
              </w:rPr>
              <w:t>（二）《公路安全保护条例》（</w:t>
            </w:r>
            <w:r>
              <w:rPr>
                <w:sz w:val="18"/>
              </w:rPr>
              <w:t>2011年3月7日国务院令第593号公布）第二十七条、第二十八条、第二十九条；</w:t>
            </w:r>
          </w:p>
          <w:p>
            <w:pPr>
              <w:spacing w:line="288" w:lineRule="auto"/>
              <w:rPr>
                <w:sz w:val="18"/>
              </w:rPr>
            </w:pPr>
            <w:r>
              <w:rPr>
                <w:rFonts w:hint="eastAsia"/>
                <w:sz w:val="18"/>
              </w:rPr>
              <w:t>（三）《路政管理规定》（</w:t>
            </w:r>
            <w:r>
              <w:rPr>
                <w:sz w:val="18"/>
              </w:rPr>
              <w:t>2003年1月27日交通部令2003年第2号公布）第九条、第十五条；</w:t>
            </w:r>
          </w:p>
          <w:p>
            <w:pPr>
              <w:spacing w:line="288" w:lineRule="auto"/>
              <w:rPr>
                <w:sz w:val="18"/>
              </w:rPr>
            </w:pPr>
            <w:r>
              <w:rPr>
                <w:rFonts w:hint="eastAsia"/>
                <w:sz w:val="18"/>
              </w:rPr>
              <w:t>（四）《广东省公路条例》（</w:t>
            </w:r>
            <w:r>
              <w:rPr>
                <w:sz w:val="18"/>
              </w:rPr>
              <w:t>2012年7月26日广东省第十一届人民代表大会常务委员会第三十五次会议第二次修正）第二十一条。</w:t>
            </w:r>
          </w:p>
        </w:tc>
      </w:tr>
      <w:tr>
        <w:tblPrEx>
          <w:tblLayout w:type="fixed"/>
          <w:tblCellMar>
            <w:top w:w="0" w:type="dxa"/>
            <w:left w:w="108" w:type="dxa"/>
            <w:bottom w:w="0" w:type="dxa"/>
            <w:right w:w="108" w:type="dxa"/>
          </w:tblCellMar>
        </w:tblPrEx>
        <w:trPr>
          <w:trHeight w:val="465" w:hRule="atLeast"/>
        </w:trPr>
        <w:tc>
          <w:tcPr>
            <w:tcW w:w="123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sz w:val="18"/>
                <w:szCs w:val="18"/>
              </w:rPr>
            </w:pPr>
            <w:r>
              <w:rPr>
                <w:rFonts w:hint="eastAsia"/>
                <w:sz w:val="18"/>
                <w:szCs w:val="18"/>
              </w:rPr>
              <w:t>岗位的职责和权限</w:t>
            </w:r>
          </w:p>
        </w:tc>
        <w:tc>
          <w:tcPr>
            <w:tcW w:w="7430" w:type="dxa"/>
            <w:tcBorders>
              <w:top w:val="single" w:color="auto" w:sz="8" w:space="0"/>
              <w:left w:val="nil"/>
              <w:bottom w:val="single" w:color="auto" w:sz="8" w:space="0"/>
              <w:right w:val="single" w:color="auto" w:sz="8" w:space="0"/>
            </w:tcBorders>
            <w:shd w:val="clear" w:color="auto" w:fill="auto"/>
            <w:vAlign w:val="center"/>
          </w:tcPr>
          <w:p>
            <w:pPr>
              <w:spacing w:line="288" w:lineRule="auto"/>
              <w:rPr>
                <w:sz w:val="18"/>
                <w:szCs w:val="18"/>
              </w:rPr>
            </w:pPr>
            <w:r>
              <w:rPr>
                <w:rFonts w:hint="eastAsia"/>
                <w:sz w:val="18"/>
                <w:szCs w:val="18"/>
              </w:rPr>
              <w:t>对申请在公路增设或改造平面交叉道口审批的申请资料进行审查。</w:t>
            </w:r>
          </w:p>
        </w:tc>
      </w:tr>
      <w:tr>
        <w:tblPrEx>
          <w:tblLayout w:type="fixed"/>
          <w:tblCellMar>
            <w:top w:w="0" w:type="dxa"/>
            <w:left w:w="108" w:type="dxa"/>
            <w:bottom w:w="0" w:type="dxa"/>
            <w:right w:w="108" w:type="dxa"/>
          </w:tblCellMar>
        </w:tblPrEx>
        <w:trPr>
          <w:trHeight w:val="540" w:hRule="atLeast"/>
        </w:trPr>
        <w:tc>
          <w:tcPr>
            <w:tcW w:w="123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sz w:val="18"/>
                <w:szCs w:val="18"/>
              </w:rPr>
            </w:pPr>
            <w:r>
              <w:rPr>
                <w:rFonts w:hint="eastAsia"/>
                <w:sz w:val="18"/>
                <w:szCs w:val="18"/>
              </w:rPr>
              <w:t>审查时限</w:t>
            </w:r>
          </w:p>
        </w:tc>
        <w:tc>
          <w:tcPr>
            <w:tcW w:w="7430" w:type="dxa"/>
            <w:tcBorders>
              <w:top w:val="single" w:color="auto" w:sz="8" w:space="0"/>
              <w:left w:val="nil"/>
              <w:bottom w:val="single" w:color="auto" w:sz="8" w:space="0"/>
              <w:right w:val="single" w:color="auto" w:sz="8" w:space="0"/>
            </w:tcBorders>
            <w:shd w:val="clear" w:color="auto" w:fill="auto"/>
            <w:vAlign w:val="center"/>
          </w:tcPr>
          <w:p>
            <w:pPr>
              <w:spacing w:line="288" w:lineRule="auto"/>
              <w:rPr>
                <w:sz w:val="18"/>
                <w:szCs w:val="18"/>
              </w:rPr>
            </w:pPr>
            <w:r>
              <w:rPr>
                <w:rFonts w:hint="eastAsia"/>
                <w:sz w:val="18"/>
                <w:szCs w:val="18"/>
              </w:rPr>
              <w:t>12个工作日，包含现场勘查</w:t>
            </w:r>
          </w:p>
        </w:tc>
      </w:tr>
      <w:tr>
        <w:tblPrEx>
          <w:tblLayout w:type="fixed"/>
          <w:tblCellMar>
            <w:top w:w="0" w:type="dxa"/>
            <w:left w:w="108" w:type="dxa"/>
            <w:bottom w:w="0" w:type="dxa"/>
            <w:right w:w="108" w:type="dxa"/>
          </w:tblCellMar>
        </w:tblPrEx>
        <w:trPr>
          <w:trHeight w:val="405" w:hRule="atLeast"/>
        </w:trPr>
        <w:tc>
          <w:tcPr>
            <w:tcW w:w="123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sz w:val="18"/>
                <w:szCs w:val="18"/>
              </w:rPr>
            </w:pPr>
            <w:r>
              <w:rPr>
                <w:rFonts w:hint="eastAsia"/>
                <w:sz w:val="18"/>
                <w:szCs w:val="18"/>
              </w:rPr>
              <w:t>审查内容</w:t>
            </w:r>
          </w:p>
        </w:tc>
        <w:tc>
          <w:tcPr>
            <w:tcW w:w="7430" w:type="dxa"/>
            <w:tcBorders>
              <w:top w:val="single" w:color="auto" w:sz="8" w:space="0"/>
              <w:left w:val="nil"/>
              <w:bottom w:val="single" w:color="auto" w:sz="8" w:space="0"/>
              <w:right w:val="single" w:color="auto" w:sz="8" w:space="0"/>
            </w:tcBorders>
            <w:shd w:val="clear" w:color="auto" w:fill="auto"/>
            <w:vAlign w:val="center"/>
          </w:tcPr>
          <w:p>
            <w:pPr>
              <w:spacing w:line="288" w:lineRule="auto"/>
              <w:rPr>
                <w:sz w:val="18"/>
                <w:szCs w:val="18"/>
              </w:rPr>
            </w:pPr>
            <w:r>
              <w:rPr>
                <w:rFonts w:hint="eastAsia"/>
                <w:sz w:val="18"/>
                <w:szCs w:val="18"/>
              </w:rPr>
              <w:t>申请人是否具备申请资格；申请事项是否属于路政法定的许可申请事项；申请事项是否符合设定的许可条件。</w:t>
            </w:r>
          </w:p>
        </w:tc>
      </w:tr>
      <w:tr>
        <w:tblPrEx>
          <w:tblLayout w:type="fixed"/>
          <w:tblCellMar>
            <w:top w:w="0" w:type="dxa"/>
            <w:left w:w="108" w:type="dxa"/>
            <w:bottom w:w="0" w:type="dxa"/>
            <w:right w:w="108" w:type="dxa"/>
          </w:tblCellMar>
        </w:tblPrEx>
        <w:trPr>
          <w:trHeight w:val="375" w:hRule="atLeast"/>
        </w:trPr>
        <w:tc>
          <w:tcPr>
            <w:tcW w:w="123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sz w:val="18"/>
                <w:szCs w:val="18"/>
              </w:rPr>
            </w:pPr>
            <w:r>
              <w:rPr>
                <w:rFonts w:hint="eastAsia"/>
                <w:sz w:val="18"/>
                <w:szCs w:val="18"/>
              </w:rPr>
              <w:t>审查结论</w:t>
            </w:r>
          </w:p>
        </w:tc>
        <w:tc>
          <w:tcPr>
            <w:tcW w:w="7430" w:type="dxa"/>
            <w:tcBorders>
              <w:top w:val="single" w:color="auto" w:sz="8" w:space="0"/>
              <w:left w:val="nil"/>
              <w:bottom w:val="single" w:color="auto" w:sz="8" w:space="0"/>
              <w:right w:val="single" w:color="auto" w:sz="8" w:space="0"/>
            </w:tcBorders>
            <w:shd w:val="clear" w:color="auto" w:fill="auto"/>
            <w:vAlign w:val="center"/>
          </w:tcPr>
          <w:p>
            <w:pPr>
              <w:spacing w:line="288" w:lineRule="auto"/>
              <w:rPr>
                <w:sz w:val="18"/>
                <w:szCs w:val="18"/>
              </w:rPr>
            </w:pPr>
            <w:r>
              <w:rPr>
                <w:rFonts w:hint="eastAsia"/>
                <w:sz w:val="18"/>
                <w:szCs w:val="18"/>
              </w:rPr>
              <w:t>符合本事项路政许可条件，结合现场勘查情况，提出审核意见，进入下一环节</w:t>
            </w:r>
          </w:p>
        </w:tc>
      </w:tr>
      <w:tr>
        <w:tblPrEx>
          <w:tblLayout w:type="fixed"/>
          <w:tblCellMar>
            <w:top w:w="0" w:type="dxa"/>
            <w:left w:w="108" w:type="dxa"/>
            <w:bottom w:w="0" w:type="dxa"/>
            <w:right w:w="108" w:type="dxa"/>
          </w:tblCellMar>
        </w:tblPrEx>
        <w:trPr>
          <w:trHeight w:val="480" w:hRule="atLeast"/>
        </w:trPr>
        <w:tc>
          <w:tcPr>
            <w:tcW w:w="123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sz w:val="18"/>
                <w:szCs w:val="18"/>
              </w:rPr>
            </w:pPr>
            <w:r>
              <w:rPr>
                <w:rFonts w:hint="eastAsia"/>
                <w:sz w:val="18"/>
                <w:szCs w:val="18"/>
              </w:rPr>
              <w:t>审查报告名称</w:t>
            </w:r>
          </w:p>
        </w:tc>
        <w:tc>
          <w:tcPr>
            <w:tcW w:w="7430" w:type="dxa"/>
            <w:tcBorders>
              <w:top w:val="single" w:color="auto" w:sz="8" w:space="0"/>
              <w:left w:val="nil"/>
              <w:bottom w:val="single" w:color="auto" w:sz="8" w:space="0"/>
              <w:right w:val="single" w:color="auto" w:sz="8" w:space="0"/>
            </w:tcBorders>
            <w:shd w:val="clear" w:color="auto" w:fill="auto"/>
            <w:vAlign w:val="center"/>
          </w:tcPr>
          <w:p>
            <w:pPr>
              <w:spacing w:line="288" w:lineRule="auto"/>
              <w:rPr>
                <w:sz w:val="18"/>
                <w:szCs w:val="18"/>
              </w:rPr>
            </w:pPr>
            <w:r>
              <w:rPr>
                <w:rFonts w:hint="eastAsia"/>
                <w:sz w:val="18"/>
                <w:szCs w:val="18"/>
              </w:rPr>
              <w:t>无</w:t>
            </w:r>
          </w:p>
        </w:tc>
      </w:tr>
      <w:tr>
        <w:tblPrEx>
          <w:tblLayout w:type="fixed"/>
          <w:tblCellMar>
            <w:top w:w="0" w:type="dxa"/>
            <w:left w:w="108" w:type="dxa"/>
            <w:bottom w:w="0" w:type="dxa"/>
            <w:right w:w="108" w:type="dxa"/>
          </w:tblCellMar>
        </w:tblPrEx>
        <w:trPr>
          <w:trHeight w:val="525" w:hRule="atLeast"/>
        </w:trPr>
        <w:tc>
          <w:tcPr>
            <w:tcW w:w="123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sz w:val="18"/>
                <w:szCs w:val="18"/>
              </w:rPr>
            </w:pPr>
            <w:r>
              <w:rPr>
                <w:rFonts w:hint="eastAsia"/>
                <w:sz w:val="18"/>
                <w:szCs w:val="18"/>
              </w:rPr>
              <w:t>审查材料清单</w:t>
            </w:r>
          </w:p>
        </w:tc>
        <w:tc>
          <w:tcPr>
            <w:tcW w:w="7430" w:type="dxa"/>
            <w:tcBorders>
              <w:top w:val="single" w:color="auto" w:sz="8" w:space="0"/>
              <w:left w:val="nil"/>
              <w:bottom w:val="single" w:color="auto" w:sz="8" w:space="0"/>
              <w:right w:val="single" w:color="auto" w:sz="8" w:space="0"/>
            </w:tcBorders>
            <w:shd w:val="clear" w:color="auto" w:fill="auto"/>
            <w:vAlign w:val="center"/>
          </w:tcPr>
          <w:p>
            <w:pPr>
              <w:spacing w:line="288" w:lineRule="auto"/>
              <w:ind w:firstLine="360" w:firstLineChars="200"/>
              <w:rPr>
                <w:sz w:val="18"/>
                <w:szCs w:val="18"/>
              </w:rPr>
            </w:pPr>
            <w:r>
              <w:rPr>
                <w:rFonts w:hint="eastAsia"/>
                <w:sz w:val="18"/>
                <w:szCs w:val="18"/>
              </w:rPr>
              <w:t>1.《深圳市开设路口许可申请表》（原件</w:t>
            </w:r>
            <w:r>
              <w:rPr>
                <w:sz w:val="18"/>
                <w:szCs w:val="18"/>
              </w:rPr>
              <w:t>2份，附电子扫描文件）。</w:t>
            </w:r>
          </w:p>
          <w:p>
            <w:pPr>
              <w:spacing w:line="288" w:lineRule="auto"/>
              <w:ind w:firstLine="360" w:firstLineChars="200"/>
              <w:rPr>
                <w:sz w:val="18"/>
                <w:szCs w:val="18"/>
              </w:rPr>
            </w:pPr>
            <w:r>
              <w:rPr>
                <w:rFonts w:hint="eastAsia"/>
                <w:sz w:val="18"/>
                <w:szCs w:val="18"/>
              </w:rPr>
              <w:t>2.申请人身份证明材料。</w:t>
            </w:r>
          </w:p>
          <w:p>
            <w:pPr>
              <w:spacing w:line="288" w:lineRule="auto"/>
              <w:ind w:firstLine="360" w:firstLineChars="200"/>
              <w:rPr>
                <w:sz w:val="18"/>
                <w:szCs w:val="18"/>
              </w:rPr>
            </w:pPr>
            <w:r>
              <w:rPr>
                <w:sz w:val="18"/>
                <w:szCs w:val="18"/>
              </w:rPr>
              <w:t>1</w:t>
            </w:r>
            <w:r>
              <w:rPr>
                <w:rFonts w:hint="eastAsia"/>
                <w:sz w:val="18"/>
                <w:szCs w:val="18"/>
              </w:rPr>
              <w:t>)</w:t>
            </w:r>
            <w:r>
              <w:rPr>
                <w:sz w:val="18"/>
                <w:szCs w:val="18"/>
              </w:rPr>
              <w:t>属个人的，提供身份证（复印件2份，验原件，附电子扫描文件）；</w:t>
            </w:r>
          </w:p>
          <w:p>
            <w:pPr>
              <w:spacing w:line="288" w:lineRule="auto"/>
              <w:ind w:firstLine="360" w:firstLineChars="200"/>
              <w:rPr>
                <w:sz w:val="18"/>
                <w:szCs w:val="18"/>
              </w:rPr>
            </w:pPr>
            <w:r>
              <w:rPr>
                <w:sz w:val="18"/>
                <w:szCs w:val="18"/>
              </w:rPr>
              <w:t>2</w:t>
            </w:r>
            <w:r>
              <w:rPr>
                <w:rFonts w:hint="eastAsia"/>
                <w:sz w:val="18"/>
                <w:szCs w:val="18"/>
              </w:rPr>
              <w:t>)</w:t>
            </w:r>
            <w:r>
              <w:rPr>
                <w:sz w:val="18"/>
                <w:szCs w:val="18"/>
              </w:rPr>
              <w:t>属企业的，提供工商营业执照或者商事主体登记证书（复印件2份）及法定代表人或负责人证明（复印件2份，加盖企业公章确认，附电子扫描文件）；</w:t>
            </w:r>
          </w:p>
          <w:p>
            <w:pPr>
              <w:spacing w:line="288" w:lineRule="auto"/>
              <w:ind w:firstLine="360" w:firstLineChars="200"/>
              <w:rPr>
                <w:sz w:val="18"/>
                <w:szCs w:val="18"/>
              </w:rPr>
            </w:pPr>
            <w:r>
              <w:rPr>
                <w:sz w:val="18"/>
                <w:szCs w:val="18"/>
              </w:rPr>
              <w:t>3</w:t>
            </w:r>
            <w:r>
              <w:rPr>
                <w:rFonts w:hint="eastAsia"/>
                <w:sz w:val="18"/>
                <w:szCs w:val="18"/>
              </w:rPr>
              <w:t>)</w:t>
            </w:r>
            <w:r>
              <w:rPr>
                <w:sz w:val="18"/>
                <w:szCs w:val="18"/>
              </w:rPr>
              <w:t>属事业单位或其他社团组织的，提供政府批准成立的批文复印件或核准登记证明、法定代表人或单位负责人证明（复印件2份，附电子扫描文件）；</w:t>
            </w:r>
          </w:p>
          <w:p>
            <w:pPr>
              <w:spacing w:line="288" w:lineRule="auto"/>
              <w:ind w:firstLine="360" w:firstLineChars="200"/>
              <w:rPr>
                <w:sz w:val="18"/>
                <w:szCs w:val="18"/>
              </w:rPr>
            </w:pPr>
            <w:r>
              <w:rPr>
                <w:sz w:val="18"/>
                <w:szCs w:val="18"/>
              </w:rPr>
              <w:t>4</w:t>
            </w:r>
            <w:r>
              <w:rPr>
                <w:rFonts w:hint="eastAsia"/>
                <w:sz w:val="18"/>
                <w:szCs w:val="18"/>
              </w:rPr>
              <w:t>)</w:t>
            </w:r>
            <w:r>
              <w:rPr>
                <w:sz w:val="18"/>
                <w:szCs w:val="18"/>
              </w:rPr>
              <w:t>属国家机关的，提供法定代表人或单位负责人证明（复印件2份，附电子扫描文件）；</w:t>
            </w:r>
          </w:p>
          <w:p>
            <w:pPr>
              <w:spacing w:line="288" w:lineRule="auto"/>
              <w:ind w:firstLine="360" w:firstLineChars="200"/>
              <w:rPr>
                <w:sz w:val="18"/>
                <w:szCs w:val="18"/>
              </w:rPr>
            </w:pPr>
            <w:r>
              <w:rPr>
                <w:sz w:val="18"/>
                <w:szCs w:val="18"/>
              </w:rPr>
              <w:t>5</w:t>
            </w:r>
            <w:r>
              <w:rPr>
                <w:rFonts w:hint="eastAsia"/>
                <w:sz w:val="18"/>
                <w:szCs w:val="18"/>
              </w:rPr>
              <w:t>)</w:t>
            </w:r>
            <w:r>
              <w:rPr>
                <w:sz w:val="18"/>
                <w:szCs w:val="18"/>
              </w:rPr>
              <w:t>属单位授权他人代理的，提供委托书（原件2份，附电子扫描文件）及委托代理人个人身份证明（复印件2份，验原件，附电子扫描文件）；</w:t>
            </w:r>
          </w:p>
          <w:p>
            <w:pPr>
              <w:spacing w:line="288" w:lineRule="auto"/>
              <w:ind w:firstLine="360" w:firstLineChars="200"/>
              <w:rPr>
                <w:sz w:val="18"/>
                <w:szCs w:val="18"/>
              </w:rPr>
            </w:pPr>
            <w:r>
              <w:rPr>
                <w:sz w:val="18"/>
                <w:szCs w:val="18"/>
              </w:rPr>
              <w:t>6</w:t>
            </w:r>
            <w:r>
              <w:rPr>
                <w:rFonts w:hint="eastAsia"/>
                <w:sz w:val="18"/>
                <w:szCs w:val="18"/>
              </w:rPr>
              <w:t>)</w:t>
            </w:r>
            <w:r>
              <w:rPr>
                <w:sz w:val="18"/>
                <w:szCs w:val="18"/>
              </w:rPr>
              <w:t>属个人授权他人代理的，提供授权委托书（原件，附电子扫描文件）及委托代理人个人身份证明（复印件2份，验原件，附电子扫描文件）；</w:t>
            </w:r>
          </w:p>
          <w:p>
            <w:pPr>
              <w:spacing w:line="288" w:lineRule="auto"/>
              <w:ind w:firstLine="360" w:firstLineChars="200"/>
              <w:rPr>
                <w:sz w:val="18"/>
                <w:szCs w:val="18"/>
              </w:rPr>
            </w:pPr>
            <w:r>
              <w:rPr>
                <w:sz w:val="18"/>
                <w:szCs w:val="18"/>
              </w:rPr>
              <w:t>7</w:t>
            </w:r>
            <w:r>
              <w:rPr>
                <w:rFonts w:hint="eastAsia"/>
                <w:sz w:val="18"/>
                <w:szCs w:val="18"/>
              </w:rPr>
              <w:t>)</w:t>
            </w:r>
            <w:r>
              <w:rPr>
                <w:sz w:val="18"/>
                <w:szCs w:val="18"/>
              </w:rPr>
              <w:t>境外企业、组织及个人提交的身份证明按规定须经过见证或认证，香港和澳门的须经司法部授权的律师见证（原件2份，附电子扫描文件）。</w:t>
            </w:r>
          </w:p>
          <w:p>
            <w:pPr>
              <w:spacing w:line="288" w:lineRule="auto"/>
              <w:ind w:firstLine="360" w:firstLineChars="200"/>
              <w:rPr>
                <w:sz w:val="18"/>
                <w:szCs w:val="18"/>
              </w:rPr>
            </w:pPr>
            <w:r>
              <w:rPr>
                <w:rFonts w:hint="eastAsia"/>
                <w:sz w:val="18"/>
                <w:szCs w:val="18"/>
              </w:rPr>
              <w:t>3.</w:t>
            </w:r>
            <w:r>
              <w:rPr>
                <w:sz w:val="18"/>
                <w:szCs w:val="18"/>
              </w:rPr>
              <w:t>建设项目的《深圳市土地使用权出让合同书》（复印件2份，验原件，附电子扫描文件）。</w:t>
            </w:r>
          </w:p>
          <w:p>
            <w:pPr>
              <w:spacing w:line="288" w:lineRule="auto"/>
              <w:ind w:firstLine="360" w:firstLineChars="200"/>
              <w:rPr>
                <w:sz w:val="18"/>
                <w:szCs w:val="18"/>
              </w:rPr>
            </w:pPr>
            <w:r>
              <w:rPr>
                <w:rFonts w:hint="eastAsia"/>
                <w:sz w:val="18"/>
                <w:szCs w:val="18"/>
              </w:rPr>
              <w:t>4.</w:t>
            </w:r>
            <w:r>
              <w:rPr>
                <w:sz w:val="18"/>
                <w:szCs w:val="18"/>
              </w:rPr>
              <w:t>建设项目的《深圳市建设用地规划许可证》和《深圳市建设工程规划许可证》（复印件2份，附电子扫描文件）。</w:t>
            </w:r>
          </w:p>
          <w:p>
            <w:pPr>
              <w:spacing w:line="288" w:lineRule="auto"/>
              <w:ind w:firstLine="360" w:firstLineChars="200"/>
              <w:rPr>
                <w:sz w:val="18"/>
                <w:szCs w:val="18"/>
              </w:rPr>
            </w:pPr>
            <w:r>
              <w:rPr>
                <w:sz w:val="18"/>
                <w:szCs w:val="18"/>
              </w:rPr>
              <w:t>注：申请路口开设期限不超过1年的，可不要求提供《深圳市建设工程规划许可证》，但须提供《深圳市建设工程方案设计审批意见书》。</w:t>
            </w:r>
          </w:p>
          <w:p>
            <w:pPr>
              <w:spacing w:line="288" w:lineRule="auto"/>
              <w:ind w:firstLine="360" w:firstLineChars="200"/>
              <w:rPr>
                <w:sz w:val="18"/>
                <w:szCs w:val="18"/>
              </w:rPr>
            </w:pPr>
            <w:r>
              <w:rPr>
                <w:rFonts w:hint="eastAsia"/>
                <w:sz w:val="18"/>
                <w:szCs w:val="18"/>
              </w:rPr>
              <w:t>5.建设项目设计文件和图纸（原件</w:t>
            </w:r>
            <w:r>
              <w:rPr>
                <w:sz w:val="18"/>
                <w:szCs w:val="18"/>
              </w:rPr>
              <w:t>2套，文件图纸须由建设项目设计单位盖章确认，附电子文件）。</w:t>
            </w:r>
          </w:p>
          <w:p>
            <w:pPr>
              <w:spacing w:line="288" w:lineRule="auto"/>
              <w:ind w:firstLine="360" w:firstLineChars="200"/>
              <w:rPr>
                <w:sz w:val="18"/>
                <w:szCs w:val="18"/>
              </w:rPr>
            </w:pPr>
            <w:r>
              <w:rPr>
                <w:rFonts w:hint="eastAsia"/>
                <w:sz w:val="18"/>
                <w:szCs w:val="18"/>
              </w:rPr>
              <w:t>注：设计文件包括项目设计说明书、项目工程平面图、项目内部交通组织图、经批准的总平面图（复印件</w:t>
            </w:r>
            <w:r>
              <w:rPr>
                <w:sz w:val="18"/>
                <w:szCs w:val="18"/>
              </w:rPr>
              <w:t>2份，验原件）、市规划国土部门关于申请路口开设同意的函件（复印件2份，验原件）等。申请路口开设期限不超过1年的的，可不提供经批准的总平面图，须提交建设工程方案设计总平面图（复印件2份，验原件）。</w:t>
            </w:r>
          </w:p>
          <w:p>
            <w:pPr>
              <w:spacing w:line="288" w:lineRule="auto"/>
              <w:ind w:firstLine="360" w:firstLineChars="200"/>
              <w:rPr>
                <w:sz w:val="18"/>
                <w:szCs w:val="18"/>
              </w:rPr>
            </w:pPr>
            <w:r>
              <w:rPr>
                <w:rFonts w:hint="eastAsia"/>
                <w:sz w:val="18"/>
                <w:szCs w:val="18"/>
              </w:rPr>
              <w:t>6.路口设计单位出具的路口设计文件和图纸（原件</w:t>
            </w:r>
            <w:r>
              <w:rPr>
                <w:sz w:val="18"/>
                <w:szCs w:val="18"/>
              </w:rPr>
              <w:t>2套，文件图纸须由路口设计单位盖章确认，附电子文件）。</w:t>
            </w:r>
          </w:p>
          <w:p>
            <w:pPr>
              <w:spacing w:line="288" w:lineRule="auto"/>
              <w:ind w:firstLine="360" w:firstLineChars="200"/>
              <w:rPr>
                <w:sz w:val="18"/>
                <w:szCs w:val="18"/>
              </w:rPr>
            </w:pPr>
            <w:r>
              <w:rPr>
                <w:rFonts w:hint="eastAsia"/>
                <w:sz w:val="18"/>
                <w:szCs w:val="18"/>
              </w:rPr>
              <w:t>注：路口设计文件包括路口设计说明书、区域位置图、路口总平面图、路口平面设计图、路口竖向设计图、路口结构设计图、管线保护措施设计图、交通设施设计图（交通标志、标线及安全设施）、道路恢复设计图、无障碍设施和盲道设计图等。</w:t>
            </w:r>
          </w:p>
          <w:p>
            <w:pPr>
              <w:spacing w:line="288" w:lineRule="auto"/>
              <w:ind w:firstLine="360" w:firstLineChars="200"/>
              <w:rPr>
                <w:sz w:val="18"/>
                <w:szCs w:val="18"/>
              </w:rPr>
            </w:pPr>
            <w:r>
              <w:rPr>
                <w:rFonts w:hint="eastAsia"/>
                <w:sz w:val="18"/>
                <w:szCs w:val="18"/>
              </w:rPr>
              <w:t>7.路口设计和施工单位资质证书（复印件</w:t>
            </w:r>
            <w:r>
              <w:rPr>
                <w:sz w:val="18"/>
                <w:szCs w:val="18"/>
              </w:rPr>
              <w:t>2份，加盖单位公章，附电子扫描文件）。</w:t>
            </w:r>
          </w:p>
          <w:p>
            <w:pPr>
              <w:spacing w:line="288" w:lineRule="auto"/>
              <w:ind w:firstLine="360" w:firstLineChars="200"/>
              <w:rPr>
                <w:sz w:val="18"/>
                <w:szCs w:val="18"/>
              </w:rPr>
            </w:pPr>
            <w:r>
              <w:rPr>
                <w:rFonts w:hint="eastAsia"/>
                <w:sz w:val="18"/>
                <w:szCs w:val="18"/>
              </w:rPr>
              <w:t>8.交通疏解方案（原件</w:t>
            </w:r>
            <w:r>
              <w:rPr>
                <w:sz w:val="18"/>
                <w:szCs w:val="18"/>
              </w:rPr>
              <w:t>2份，加盖交通疏解方案编制单位公章确认，附电子文件）。</w:t>
            </w:r>
          </w:p>
          <w:p>
            <w:pPr>
              <w:spacing w:line="288" w:lineRule="auto"/>
              <w:ind w:firstLine="360" w:firstLineChars="200"/>
              <w:rPr>
                <w:sz w:val="18"/>
                <w:szCs w:val="18"/>
              </w:rPr>
            </w:pPr>
            <w:r>
              <w:rPr>
                <w:rFonts w:hint="eastAsia"/>
                <w:sz w:val="18"/>
                <w:szCs w:val="18"/>
              </w:rPr>
              <w:t>9.需要进行交通影响评价的，应提交交通影响评价报告审查结果，其他情况应提交建设项目交通组织设计文件审查结果（原件</w:t>
            </w:r>
            <w:r>
              <w:rPr>
                <w:sz w:val="18"/>
                <w:szCs w:val="18"/>
              </w:rPr>
              <w:t>2份，加盖编制单位公章确认，附电子文件。</w:t>
            </w:r>
          </w:p>
          <w:p>
            <w:pPr>
              <w:spacing w:line="288" w:lineRule="auto"/>
              <w:ind w:firstLine="360" w:firstLineChars="200"/>
              <w:rPr>
                <w:sz w:val="18"/>
                <w:szCs w:val="18"/>
              </w:rPr>
            </w:pPr>
            <w:r>
              <w:rPr>
                <w:rFonts w:hint="eastAsia"/>
                <w:sz w:val="18"/>
                <w:szCs w:val="18"/>
              </w:rPr>
              <w:t>10.开设路口施工范围内地下市政管线资料（包括地下市政管线布置图，复印件</w:t>
            </w:r>
            <w:r>
              <w:rPr>
                <w:sz w:val="18"/>
                <w:szCs w:val="18"/>
              </w:rPr>
              <w:t>2份，附电子文件）。</w:t>
            </w:r>
          </w:p>
          <w:p>
            <w:pPr>
              <w:spacing w:line="288" w:lineRule="auto"/>
              <w:ind w:firstLine="360" w:firstLineChars="200"/>
              <w:rPr>
                <w:sz w:val="18"/>
                <w:szCs w:val="18"/>
              </w:rPr>
            </w:pPr>
            <w:r>
              <w:rPr>
                <w:rFonts w:hint="eastAsia"/>
                <w:sz w:val="18"/>
                <w:szCs w:val="18"/>
              </w:rPr>
              <w:t>11.</w:t>
            </w:r>
            <w:r>
              <w:rPr>
                <w:sz w:val="18"/>
                <w:szCs w:val="18"/>
              </w:rPr>
              <w:t>涉及在轨道交通、燃气、电力、电信等设施控制保护范围内从事敷设管线、挖掘、打桩、顶进、钻探及其他大面积增加或减少载荷影响设施安全活动的，提供保护方案（原件2份，附电子文件）。</w:t>
            </w:r>
          </w:p>
          <w:p>
            <w:pPr>
              <w:spacing w:line="288" w:lineRule="auto"/>
              <w:ind w:firstLine="360" w:firstLineChars="200"/>
              <w:rPr>
                <w:sz w:val="18"/>
                <w:szCs w:val="18"/>
              </w:rPr>
            </w:pPr>
            <w:r>
              <w:rPr>
                <w:rFonts w:hint="eastAsia"/>
                <w:sz w:val="18"/>
                <w:szCs w:val="18"/>
              </w:rPr>
              <w:t>12.</w:t>
            </w:r>
            <w:r>
              <w:rPr>
                <w:sz w:val="18"/>
                <w:szCs w:val="18"/>
              </w:rPr>
              <w:t>申请延期的，原申请时提交的上述材料未过期的无需再提供，另需提供《延续路政许可申请表》（原件2份，附电子扫描文件）、原批准的《准予行政许可决定书》（复印件2份，附电子扫描文件）、原批准的《深圳市开设路口许可证》（复印件2份，附电子扫描文件）。</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mp;#23435">
    <w:altName w:val="Times New Roman"/>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amp;#40657">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9A546D"/>
    <w:rsid w:val="380216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sz w:val="24"/>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liyi</dc:creator>
  <cp:lastModifiedBy>liyi</cp:lastModifiedBy>
  <dcterms:modified xsi:type="dcterms:W3CDTF">2017-09-16T09:34:50Z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