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tblInd w:w="118" w:type="dxa"/>
        <w:tblLayout w:type="fixed"/>
        <w:tblLook w:val="04A0" w:firstRow="1" w:lastRow="0" w:firstColumn="1" w:lastColumn="0" w:noHBand="0" w:noVBand="1"/>
      </w:tblPr>
      <w:tblGrid>
        <w:gridCol w:w="696"/>
        <w:gridCol w:w="7704"/>
      </w:tblGrid>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 xml:space="preserve">　</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规定和要求</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需要该审查的依据</w:t>
            </w:r>
          </w:p>
        </w:tc>
        <w:tc>
          <w:tcPr>
            <w:tcW w:w="7704" w:type="dxa"/>
            <w:tcBorders>
              <w:top w:val="nil"/>
              <w:left w:val="nil"/>
              <w:bottom w:val="single" w:sz="8" w:space="0" w:color="auto"/>
              <w:right w:val="single" w:sz="8" w:space="0" w:color="auto"/>
            </w:tcBorders>
            <w:vAlign w:val="center"/>
          </w:tcPr>
          <w:p w:rsidR="00AF07EE" w:rsidRPr="009471A4" w:rsidRDefault="00AF07EE" w:rsidP="00BC7B8C">
            <w:pPr>
              <w:rPr>
                <w:kern w:val="2"/>
                <w:sz w:val="18"/>
                <w:szCs w:val="18"/>
              </w:rPr>
            </w:pPr>
            <w:r w:rsidRPr="009471A4">
              <w:rPr>
                <w:rFonts w:hint="eastAsia"/>
                <w:kern w:val="2"/>
                <w:sz w:val="21"/>
                <w:szCs w:val="21"/>
              </w:rPr>
              <w:t>《中华人民共和国民办教育促进法》、《中华人民共和国民办教育促进法实施条例》、《中华人民共和国教育法》、《中等职业学校设置标准》、《广东省实施〈中华人民共和国民办教育促进法〉办法》及《深圳市民办教育管理若干规定》等。</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岗位的职责和权限</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对拟申办（变更）的民办学校的书面资料是否合法、齐全进行核查。</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审查时限</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15个自然日</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审查内容</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所需材料是否齐全，是否符合规定</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审查结论</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集体讨论决定，作出是否准予核发筹设批准书的决定。</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审查报告名称</w:t>
            </w:r>
          </w:p>
        </w:tc>
        <w:tc>
          <w:tcPr>
            <w:tcW w:w="7704" w:type="dxa"/>
            <w:tcBorders>
              <w:top w:val="single" w:sz="8" w:space="0" w:color="auto"/>
              <w:left w:val="nil"/>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无</w:t>
            </w:r>
          </w:p>
        </w:tc>
      </w:tr>
      <w:tr w:rsidR="00AF07EE" w:rsidRPr="009471A4" w:rsidTr="00BC7B8C">
        <w:tc>
          <w:tcPr>
            <w:tcW w:w="696" w:type="dxa"/>
            <w:tcBorders>
              <w:top w:val="single" w:sz="8" w:space="0" w:color="auto"/>
              <w:left w:val="single" w:sz="8" w:space="0" w:color="auto"/>
              <w:bottom w:val="single" w:sz="8" w:space="0" w:color="auto"/>
              <w:right w:val="single" w:sz="8" w:space="0" w:color="auto"/>
            </w:tcBorders>
            <w:vAlign w:val="center"/>
          </w:tcPr>
          <w:p w:rsidR="00AF07EE" w:rsidRPr="009471A4" w:rsidRDefault="00AF07EE" w:rsidP="00BC7B8C">
            <w:pPr>
              <w:jc w:val="center"/>
              <w:rPr>
                <w:kern w:val="2"/>
                <w:sz w:val="18"/>
                <w:szCs w:val="18"/>
              </w:rPr>
            </w:pPr>
            <w:r w:rsidRPr="009471A4">
              <w:rPr>
                <w:rFonts w:hint="eastAsia"/>
                <w:kern w:val="2"/>
                <w:sz w:val="18"/>
                <w:szCs w:val="18"/>
              </w:rPr>
              <w:t>审查材料清单</w:t>
            </w:r>
          </w:p>
        </w:tc>
        <w:tc>
          <w:tcPr>
            <w:tcW w:w="7704" w:type="dxa"/>
            <w:tcBorders>
              <w:top w:val="single" w:sz="8" w:space="0" w:color="auto"/>
              <w:left w:val="nil"/>
              <w:bottom w:val="single" w:sz="8" w:space="0" w:color="auto"/>
              <w:right w:val="single" w:sz="8" w:space="0" w:color="000000"/>
            </w:tcBorders>
            <w:vAlign w:val="center"/>
          </w:tcPr>
          <w:p w:rsidR="00AF07EE" w:rsidRPr="009471A4" w:rsidRDefault="00AF07EE" w:rsidP="00BC7B8C">
            <w:pPr>
              <w:rPr>
                <w:kern w:val="2"/>
                <w:sz w:val="18"/>
                <w:szCs w:val="18"/>
              </w:rPr>
            </w:pPr>
            <w:r w:rsidRPr="009471A4">
              <w:rPr>
                <w:rFonts w:hint="eastAsia"/>
                <w:kern w:val="2"/>
                <w:sz w:val="18"/>
                <w:szCs w:val="18"/>
              </w:rPr>
              <w:t>申请人提供以下资料是否符合办理筹设中等职业技术学校审批的审批条件：</w:t>
            </w:r>
            <w:r w:rsidRPr="009471A4">
              <w:rPr>
                <w:rFonts w:hint="eastAsia"/>
                <w:kern w:val="2"/>
                <w:sz w:val="18"/>
                <w:szCs w:val="18"/>
              </w:rPr>
              <w:br/>
              <w:t>1.申办报告。(主要内容包括：举办者、培养目标、办学规模、办学层次、办学形式、办学条件、内部管理机制、经费筹措与管理使用等。 )</w:t>
            </w:r>
            <w:r w:rsidRPr="009471A4">
              <w:rPr>
                <w:rFonts w:hint="eastAsia"/>
                <w:kern w:val="2"/>
                <w:sz w:val="18"/>
                <w:szCs w:val="18"/>
              </w:rPr>
              <w:br/>
              <w:t>2.身份证。（验原件收复印件1份。举办者为个人的提供本项材料。）</w:t>
            </w:r>
            <w:r w:rsidRPr="009471A4">
              <w:rPr>
                <w:rFonts w:hint="eastAsia"/>
                <w:kern w:val="2"/>
                <w:sz w:val="18"/>
                <w:szCs w:val="18"/>
              </w:rPr>
              <w:br/>
              <w:t>3.资产来源、资金数额及会计师事务所出具的验资报告，并载明产权。</w:t>
            </w:r>
          </w:p>
          <w:p w:rsidR="00AF07EE" w:rsidRPr="009471A4" w:rsidRDefault="00AF07EE" w:rsidP="00BC7B8C">
            <w:pPr>
              <w:rPr>
                <w:kern w:val="2"/>
                <w:sz w:val="18"/>
                <w:szCs w:val="18"/>
              </w:rPr>
            </w:pPr>
            <w:r w:rsidRPr="009471A4">
              <w:rPr>
                <w:rFonts w:hint="eastAsia"/>
                <w:kern w:val="2"/>
                <w:sz w:val="18"/>
                <w:szCs w:val="18"/>
              </w:rPr>
              <w:t>4.营业执照。（验原件收复印件各1份。举办者为社会组织的提供本项材料。）</w:t>
            </w:r>
            <w:r w:rsidRPr="009471A4">
              <w:rPr>
                <w:rFonts w:hint="eastAsia"/>
                <w:kern w:val="2"/>
                <w:sz w:val="18"/>
                <w:szCs w:val="18"/>
              </w:rPr>
              <w:br/>
              <w:t>5.拟举办机构地址的产权文件或说明。（取得方式：自有、租赁或购买。验原件收复印件。）</w:t>
            </w:r>
            <w:r w:rsidRPr="009471A4">
              <w:rPr>
                <w:rFonts w:hint="eastAsia"/>
                <w:kern w:val="2"/>
                <w:sz w:val="18"/>
                <w:szCs w:val="18"/>
              </w:rPr>
              <w:br/>
              <w:t>6.捐赠协议。（属捐赠性质校产的须提交，载明捐赠人的姓名、所捐资产的数额、用途和管理方法及相关有效证明文件。验原件收复印件。）</w:t>
            </w:r>
          </w:p>
        </w:tc>
      </w:tr>
    </w:tbl>
    <w:p w:rsidR="0078718C" w:rsidRDefault="0078718C">
      <w:bookmarkStart w:id="0" w:name="_GoBack"/>
      <w:bookmarkEnd w:id="0"/>
    </w:p>
    <w:sectPr w:rsidR="00787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08" w:rsidRDefault="00843208" w:rsidP="00AF07EE">
      <w:r>
        <w:separator/>
      </w:r>
    </w:p>
  </w:endnote>
  <w:endnote w:type="continuationSeparator" w:id="0">
    <w:p w:rsidR="00843208" w:rsidRDefault="00843208" w:rsidP="00AF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08" w:rsidRDefault="00843208" w:rsidP="00AF07EE">
      <w:r>
        <w:separator/>
      </w:r>
    </w:p>
  </w:footnote>
  <w:footnote w:type="continuationSeparator" w:id="0">
    <w:p w:rsidR="00843208" w:rsidRDefault="00843208" w:rsidP="00AF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B5"/>
    <w:rsid w:val="005844B5"/>
    <w:rsid w:val="0078718C"/>
    <w:rsid w:val="00843208"/>
    <w:rsid w:val="00AF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B6696-0380-4F1E-9729-BF2A5544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7E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7E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AF07EE"/>
    <w:rPr>
      <w:sz w:val="18"/>
      <w:szCs w:val="18"/>
    </w:rPr>
  </w:style>
  <w:style w:type="paragraph" w:styleId="a5">
    <w:name w:val="footer"/>
    <w:basedOn w:val="a"/>
    <w:link w:val="a6"/>
    <w:uiPriority w:val="99"/>
    <w:unhideWhenUsed/>
    <w:rsid w:val="00AF07E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AF07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2017-11-06T03:03:00Z</dcterms:created>
  <dcterms:modified xsi:type="dcterms:W3CDTF">2017-11-06T03:03:00Z</dcterms:modified>
</cp:coreProperties>
</file>