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74" w:rsidRDefault="007B15D1">
      <w:pPr>
        <w:jc w:val="center"/>
        <w:rPr>
          <w:sz w:val="44"/>
          <w:szCs w:val="44"/>
        </w:rPr>
      </w:pPr>
      <w:r>
        <w:rPr>
          <w:rFonts w:hint="eastAsia"/>
          <w:sz w:val="44"/>
          <w:szCs w:val="44"/>
        </w:rPr>
        <w:t>专家评审量化表</w:t>
      </w:r>
    </w:p>
    <w:p w:rsidR="00B96774" w:rsidRDefault="00B96774"/>
    <w:tbl>
      <w:tblPr>
        <w:tblpPr w:leftFromText="180" w:rightFromText="180" w:vertAnchor="page" w:horzAnchor="margin" w:tblpY="2611"/>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843"/>
        <w:gridCol w:w="1985"/>
        <w:gridCol w:w="1275"/>
        <w:gridCol w:w="2625"/>
      </w:tblGrid>
      <w:tr w:rsidR="00B96774">
        <w:trPr>
          <w:trHeight w:val="600"/>
        </w:trPr>
        <w:tc>
          <w:tcPr>
            <w:tcW w:w="552" w:type="dxa"/>
            <w:vAlign w:val="center"/>
          </w:tcPr>
          <w:p w:rsidR="00B96774" w:rsidRDefault="007B15D1">
            <w:pPr>
              <w:jc w:val="center"/>
            </w:pPr>
            <w:r>
              <w:rPr>
                <w:rFonts w:hint="eastAsia"/>
              </w:rPr>
              <w:t>序号</w:t>
            </w:r>
          </w:p>
        </w:tc>
        <w:tc>
          <w:tcPr>
            <w:tcW w:w="1843" w:type="dxa"/>
            <w:vAlign w:val="center"/>
          </w:tcPr>
          <w:p w:rsidR="00B96774" w:rsidRDefault="007B15D1">
            <w:pPr>
              <w:jc w:val="center"/>
            </w:pPr>
            <w:r>
              <w:rPr>
                <w:rFonts w:hint="eastAsia"/>
              </w:rPr>
              <w:t>审查内容</w:t>
            </w:r>
          </w:p>
        </w:tc>
        <w:tc>
          <w:tcPr>
            <w:tcW w:w="1985" w:type="dxa"/>
            <w:vAlign w:val="center"/>
          </w:tcPr>
          <w:p w:rsidR="00B96774" w:rsidRDefault="007B15D1">
            <w:pPr>
              <w:jc w:val="center"/>
            </w:pPr>
            <w:r>
              <w:rPr>
                <w:rFonts w:hint="eastAsia"/>
              </w:rPr>
              <w:t>审查要求</w:t>
            </w:r>
          </w:p>
        </w:tc>
        <w:tc>
          <w:tcPr>
            <w:tcW w:w="1275" w:type="dxa"/>
            <w:vAlign w:val="center"/>
          </w:tcPr>
          <w:p w:rsidR="00B96774" w:rsidRDefault="007B15D1">
            <w:pPr>
              <w:jc w:val="center"/>
            </w:pPr>
            <w:r>
              <w:rPr>
                <w:rFonts w:hint="eastAsia"/>
              </w:rPr>
              <w:t>审查方法</w:t>
            </w:r>
          </w:p>
        </w:tc>
        <w:tc>
          <w:tcPr>
            <w:tcW w:w="2625" w:type="dxa"/>
            <w:vAlign w:val="center"/>
          </w:tcPr>
          <w:p w:rsidR="00B96774" w:rsidRDefault="007B15D1">
            <w:pPr>
              <w:jc w:val="center"/>
            </w:pPr>
            <w:r>
              <w:rPr>
                <w:rFonts w:hint="eastAsia"/>
              </w:rPr>
              <w:t>裁量基准</w:t>
            </w:r>
          </w:p>
        </w:tc>
      </w:tr>
      <w:tr w:rsidR="00B96774">
        <w:trPr>
          <w:trHeight w:val="1785"/>
        </w:trPr>
        <w:tc>
          <w:tcPr>
            <w:tcW w:w="552" w:type="dxa"/>
            <w:vAlign w:val="center"/>
          </w:tcPr>
          <w:p w:rsidR="00B96774" w:rsidRDefault="007B15D1">
            <w:pPr>
              <w:jc w:val="center"/>
            </w:pPr>
            <w:r>
              <w:rPr>
                <w:rFonts w:hint="eastAsia"/>
              </w:rPr>
              <w:t>1</w:t>
            </w:r>
          </w:p>
        </w:tc>
        <w:tc>
          <w:tcPr>
            <w:tcW w:w="1843" w:type="dxa"/>
            <w:vAlign w:val="center"/>
          </w:tcPr>
          <w:p w:rsidR="00B96774" w:rsidRDefault="007B15D1">
            <w:pPr>
              <w:spacing w:line="280" w:lineRule="exact"/>
              <w:jc w:val="left"/>
              <w:rPr>
                <w:rFonts w:ascii="Times New Roman" w:hAnsi="Times New Roman"/>
                <w:sz w:val="18"/>
                <w:szCs w:val="18"/>
              </w:rPr>
            </w:pPr>
            <w:r>
              <w:rPr>
                <w:rFonts w:ascii="Times New Roman" w:hAnsi="宋体"/>
                <w:sz w:val="18"/>
                <w:szCs w:val="18"/>
              </w:rPr>
              <w:t>是否</w:t>
            </w:r>
            <w:r>
              <w:rPr>
                <w:rFonts w:ascii="Times New Roman" w:hAnsi="宋体" w:hint="eastAsia"/>
                <w:sz w:val="18"/>
                <w:szCs w:val="18"/>
              </w:rPr>
              <w:t>能符合国家标准和防疫要求</w:t>
            </w:r>
          </w:p>
        </w:tc>
        <w:tc>
          <w:tcPr>
            <w:tcW w:w="1985" w:type="dxa"/>
            <w:vAlign w:val="center"/>
          </w:tcPr>
          <w:p w:rsidR="00B96774" w:rsidRDefault="007B15D1">
            <w:pPr>
              <w:spacing w:line="280" w:lineRule="exact"/>
              <w:jc w:val="center"/>
              <w:rPr>
                <w:rFonts w:ascii="Times New Roman" w:hAnsi="Times New Roman"/>
                <w:sz w:val="18"/>
                <w:szCs w:val="18"/>
              </w:rPr>
            </w:pPr>
            <w:r>
              <w:rPr>
                <w:rFonts w:ascii="Times New Roman" w:hAnsi="宋体" w:hint="eastAsia"/>
                <w:sz w:val="18"/>
                <w:szCs w:val="18"/>
              </w:rPr>
              <w:t>符合国家标准和防疫要求</w:t>
            </w:r>
          </w:p>
        </w:tc>
        <w:tc>
          <w:tcPr>
            <w:tcW w:w="1275" w:type="dxa"/>
            <w:vAlign w:val="center"/>
          </w:tcPr>
          <w:p w:rsidR="00B96774" w:rsidRDefault="007B15D1">
            <w:pPr>
              <w:spacing w:line="280" w:lineRule="exact"/>
              <w:jc w:val="center"/>
              <w:rPr>
                <w:rFonts w:ascii="Times New Roman" w:hAnsi="Times New Roman"/>
                <w:bCs/>
                <w:sz w:val="18"/>
                <w:szCs w:val="18"/>
              </w:rPr>
            </w:pPr>
            <w:r>
              <w:rPr>
                <w:rFonts w:ascii="Times New Roman"/>
                <w:bCs/>
                <w:sz w:val="18"/>
                <w:szCs w:val="18"/>
              </w:rPr>
              <w:t>材料</w:t>
            </w:r>
            <w:r>
              <w:rPr>
                <w:rFonts w:ascii="Times New Roman" w:hint="eastAsia"/>
                <w:bCs/>
                <w:sz w:val="18"/>
                <w:szCs w:val="18"/>
              </w:rPr>
              <w:t>审查或实地</w:t>
            </w:r>
            <w:r>
              <w:rPr>
                <w:rFonts w:ascii="Times New Roman"/>
                <w:bCs/>
                <w:sz w:val="18"/>
                <w:szCs w:val="18"/>
              </w:rPr>
              <w:t>审查</w:t>
            </w:r>
          </w:p>
        </w:tc>
        <w:tc>
          <w:tcPr>
            <w:tcW w:w="2625" w:type="dxa"/>
            <w:vAlign w:val="center"/>
          </w:tcPr>
          <w:p w:rsidR="00B96774" w:rsidRDefault="007B15D1">
            <w:pPr>
              <w:spacing w:line="280" w:lineRule="exact"/>
              <w:jc w:val="left"/>
              <w:rPr>
                <w:rFonts w:ascii="Times New Roman" w:hAnsi="Times New Roman"/>
                <w:bCs/>
                <w:sz w:val="18"/>
                <w:szCs w:val="18"/>
              </w:rPr>
            </w:pPr>
            <w:r>
              <w:rPr>
                <w:rFonts w:asciiTheme="majorEastAsia" w:eastAsiaTheme="majorEastAsia" w:hAnsiTheme="majorEastAsia" w:cstheme="majorEastAsia" w:hint="eastAsia"/>
                <w:bCs/>
                <w:sz w:val="18"/>
                <w:szCs w:val="18"/>
              </w:rPr>
              <w:t>对照《陆生野生动物（兽类）饲养场通用技术条件》、《陆生野生动物（鸟类）饲养场通用技术条件》、《陆生野生动物（两栖爬行类）饲养场通用技术条件》等国家林业行业标准和防疫要求，符合国家标准和要求的通过审查</w:t>
            </w:r>
          </w:p>
        </w:tc>
      </w:tr>
      <w:tr w:rsidR="00B96774">
        <w:trPr>
          <w:trHeight w:val="1367"/>
        </w:trPr>
        <w:tc>
          <w:tcPr>
            <w:tcW w:w="552" w:type="dxa"/>
            <w:vAlign w:val="center"/>
          </w:tcPr>
          <w:p w:rsidR="00B96774" w:rsidRDefault="007B15D1">
            <w:pPr>
              <w:jc w:val="center"/>
            </w:pPr>
            <w:r>
              <w:rPr>
                <w:rFonts w:hint="eastAsia"/>
              </w:rPr>
              <w:t>2</w:t>
            </w:r>
          </w:p>
        </w:tc>
        <w:tc>
          <w:tcPr>
            <w:tcW w:w="1843" w:type="dxa"/>
            <w:vAlign w:val="center"/>
          </w:tcPr>
          <w:p w:rsidR="00B96774" w:rsidRDefault="007B15D1">
            <w:pPr>
              <w:spacing w:line="280" w:lineRule="exac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是否</w:t>
            </w:r>
            <w:r>
              <w:rPr>
                <w:rFonts w:asciiTheme="majorEastAsia" w:eastAsiaTheme="majorEastAsia" w:hAnsiTheme="majorEastAsia" w:cstheme="majorEastAsia" w:hint="eastAsia"/>
                <w:bCs/>
                <w:sz w:val="18"/>
                <w:szCs w:val="18"/>
              </w:rPr>
              <w:t>具备与其</w:t>
            </w:r>
            <w:r w:rsidR="00781E5D">
              <w:rPr>
                <w:rFonts w:asciiTheme="majorEastAsia" w:eastAsiaTheme="majorEastAsia" w:hAnsiTheme="majorEastAsia" w:cstheme="majorEastAsia" w:hint="eastAsia"/>
                <w:bCs/>
                <w:sz w:val="18"/>
                <w:szCs w:val="18"/>
              </w:rPr>
              <w:t>人工</w:t>
            </w:r>
            <w:r>
              <w:rPr>
                <w:rFonts w:asciiTheme="majorEastAsia" w:eastAsiaTheme="majorEastAsia" w:hAnsiTheme="majorEastAsia" w:cstheme="majorEastAsia" w:hint="eastAsia"/>
                <w:bCs/>
                <w:sz w:val="18"/>
                <w:szCs w:val="18"/>
              </w:rPr>
              <w:t>繁育目的、种类、发展规模相适应的场所、设施、技术</w:t>
            </w:r>
          </w:p>
        </w:tc>
        <w:tc>
          <w:tcPr>
            <w:tcW w:w="1985" w:type="dxa"/>
            <w:vAlign w:val="center"/>
          </w:tcPr>
          <w:p w:rsidR="00B96774" w:rsidRDefault="007B15D1">
            <w:pPr>
              <w:spacing w:line="280" w:lineRule="exact"/>
              <w:jc w:val="center"/>
              <w:rPr>
                <w:rFonts w:ascii="Times New Roman" w:hAnsi="Times New Roman"/>
                <w:sz w:val="18"/>
                <w:szCs w:val="18"/>
              </w:rPr>
            </w:pPr>
            <w:r>
              <w:rPr>
                <w:rFonts w:asciiTheme="majorEastAsia" w:eastAsiaTheme="majorEastAsia" w:hAnsiTheme="majorEastAsia" w:cstheme="majorEastAsia" w:hint="eastAsia"/>
                <w:bCs/>
                <w:sz w:val="18"/>
                <w:szCs w:val="18"/>
              </w:rPr>
              <w:t>具备相适应的场所、设施、技术</w:t>
            </w:r>
            <w:r w:rsidR="00781E5D">
              <w:rPr>
                <w:rFonts w:asciiTheme="majorEastAsia" w:eastAsiaTheme="majorEastAsia" w:hAnsiTheme="majorEastAsia" w:cstheme="majorEastAsia" w:hint="eastAsia"/>
                <w:bCs/>
                <w:sz w:val="18"/>
                <w:szCs w:val="18"/>
              </w:rPr>
              <w:t>人员</w:t>
            </w:r>
          </w:p>
        </w:tc>
        <w:tc>
          <w:tcPr>
            <w:tcW w:w="1275" w:type="dxa"/>
            <w:vAlign w:val="center"/>
          </w:tcPr>
          <w:p w:rsidR="00B96774" w:rsidRDefault="007B15D1">
            <w:pPr>
              <w:spacing w:line="280" w:lineRule="exact"/>
              <w:jc w:val="center"/>
              <w:rPr>
                <w:rFonts w:ascii="Times New Roman" w:hAnsi="Times New Roman"/>
                <w:bCs/>
                <w:sz w:val="18"/>
                <w:szCs w:val="18"/>
              </w:rPr>
            </w:pPr>
            <w:r>
              <w:rPr>
                <w:rFonts w:ascii="Times New Roman"/>
                <w:bCs/>
                <w:sz w:val="18"/>
                <w:szCs w:val="18"/>
              </w:rPr>
              <w:t>材料</w:t>
            </w:r>
            <w:r>
              <w:rPr>
                <w:rFonts w:ascii="Times New Roman" w:hint="eastAsia"/>
                <w:bCs/>
                <w:sz w:val="18"/>
                <w:szCs w:val="18"/>
              </w:rPr>
              <w:t>审查或实地</w:t>
            </w:r>
            <w:r>
              <w:rPr>
                <w:rFonts w:ascii="Times New Roman"/>
                <w:bCs/>
                <w:sz w:val="18"/>
                <w:szCs w:val="18"/>
              </w:rPr>
              <w:t>审查</w:t>
            </w:r>
          </w:p>
        </w:tc>
        <w:tc>
          <w:tcPr>
            <w:tcW w:w="2625" w:type="dxa"/>
            <w:vAlign w:val="center"/>
          </w:tcPr>
          <w:p w:rsidR="00B96774" w:rsidRDefault="007B15D1">
            <w:pPr>
              <w:spacing w:line="280" w:lineRule="exact"/>
              <w:jc w:val="left"/>
              <w:rPr>
                <w:rFonts w:ascii="Times New Roman" w:hAnsi="Times New Roman"/>
                <w:bCs/>
                <w:sz w:val="18"/>
                <w:szCs w:val="18"/>
              </w:rPr>
            </w:pPr>
            <w:r>
              <w:rPr>
                <w:rFonts w:asciiTheme="majorEastAsia" w:eastAsiaTheme="majorEastAsia" w:hAnsiTheme="majorEastAsia" w:cstheme="majorEastAsia" w:hint="eastAsia"/>
                <w:bCs/>
                <w:sz w:val="18"/>
                <w:szCs w:val="18"/>
              </w:rPr>
              <w:t>具备与其</w:t>
            </w:r>
            <w:r w:rsidR="00781E5D">
              <w:rPr>
                <w:rFonts w:asciiTheme="majorEastAsia" w:eastAsiaTheme="majorEastAsia" w:hAnsiTheme="majorEastAsia" w:cstheme="majorEastAsia" w:hint="eastAsia"/>
                <w:bCs/>
                <w:sz w:val="18"/>
                <w:szCs w:val="18"/>
              </w:rPr>
              <w:t>人工</w:t>
            </w:r>
            <w:r>
              <w:rPr>
                <w:rFonts w:asciiTheme="majorEastAsia" w:eastAsiaTheme="majorEastAsia" w:hAnsiTheme="majorEastAsia" w:cstheme="majorEastAsia" w:hint="eastAsia"/>
                <w:bCs/>
                <w:sz w:val="18"/>
                <w:szCs w:val="18"/>
              </w:rPr>
              <w:t>繁育目的、种类、发展规模相适应的场所、设施、技术</w:t>
            </w:r>
            <w:r w:rsidR="00781E5D">
              <w:rPr>
                <w:rFonts w:asciiTheme="majorEastAsia" w:eastAsiaTheme="majorEastAsia" w:hAnsiTheme="majorEastAsia" w:cstheme="majorEastAsia" w:hint="eastAsia"/>
                <w:bCs/>
                <w:sz w:val="18"/>
                <w:szCs w:val="18"/>
              </w:rPr>
              <w:t>人员</w:t>
            </w:r>
          </w:p>
        </w:tc>
      </w:tr>
      <w:tr w:rsidR="00B96774">
        <w:trPr>
          <w:trHeight w:val="825"/>
        </w:trPr>
        <w:tc>
          <w:tcPr>
            <w:tcW w:w="552" w:type="dxa"/>
            <w:vAlign w:val="center"/>
          </w:tcPr>
          <w:p w:rsidR="00B96774" w:rsidRDefault="007B15D1">
            <w:pPr>
              <w:jc w:val="center"/>
            </w:pPr>
            <w:r>
              <w:rPr>
                <w:rFonts w:hint="eastAsia"/>
              </w:rPr>
              <w:t>3</w:t>
            </w:r>
          </w:p>
        </w:tc>
        <w:tc>
          <w:tcPr>
            <w:tcW w:w="1843" w:type="dxa"/>
            <w:vAlign w:val="center"/>
          </w:tcPr>
          <w:p w:rsidR="00B96774" w:rsidRDefault="007B15D1">
            <w:pPr>
              <w:spacing w:line="240" w:lineRule="exact"/>
              <w:jc w:val="center"/>
              <w:rPr>
                <w:rFonts w:ascii="Times New Roman" w:hAnsi="Times New Roman"/>
                <w:sz w:val="18"/>
                <w:szCs w:val="18"/>
              </w:rPr>
            </w:pPr>
            <w:r>
              <w:rPr>
                <w:rFonts w:ascii="Times New Roman" w:hAnsi="宋体" w:hint="eastAsia"/>
                <w:sz w:val="18"/>
                <w:szCs w:val="18"/>
              </w:rPr>
              <w:t>是否属于子代种源</w:t>
            </w:r>
          </w:p>
        </w:tc>
        <w:tc>
          <w:tcPr>
            <w:tcW w:w="1985" w:type="dxa"/>
            <w:vAlign w:val="center"/>
          </w:tcPr>
          <w:p w:rsidR="00B96774" w:rsidRDefault="007B15D1">
            <w:pPr>
              <w:spacing w:line="240" w:lineRule="exact"/>
              <w:jc w:val="center"/>
              <w:rPr>
                <w:rFonts w:ascii="Times New Roman" w:hAnsi="Times New Roman"/>
                <w:sz w:val="18"/>
                <w:szCs w:val="18"/>
              </w:rPr>
            </w:pPr>
            <w:r>
              <w:rPr>
                <w:rFonts w:ascii="Times New Roman" w:hAnsi="Times New Roman" w:hint="eastAsia"/>
                <w:sz w:val="18"/>
                <w:szCs w:val="18"/>
              </w:rPr>
              <w:t>属于子二代种源</w:t>
            </w:r>
          </w:p>
        </w:tc>
        <w:tc>
          <w:tcPr>
            <w:tcW w:w="1275" w:type="dxa"/>
            <w:vAlign w:val="center"/>
          </w:tcPr>
          <w:p w:rsidR="00B96774" w:rsidRDefault="007B15D1">
            <w:pPr>
              <w:spacing w:line="240" w:lineRule="exact"/>
              <w:jc w:val="center"/>
              <w:rPr>
                <w:rFonts w:ascii="Times New Roman" w:hAnsi="Times New Roman"/>
                <w:sz w:val="18"/>
                <w:szCs w:val="18"/>
              </w:rPr>
            </w:pPr>
            <w:r>
              <w:rPr>
                <w:rFonts w:ascii="Times New Roman"/>
                <w:bCs/>
                <w:sz w:val="18"/>
                <w:szCs w:val="18"/>
              </w:rPr>
              <w:t>材料</w:t>
            </w:r>
            <w:r>
              <w:rPr>
                <w:rFonts w:ascii="Times New Roman" w:hint="eastAsia"/>
                <w:bCs/>
                <w:sz w:val="18"/>
                <w:szCs w:val="18"/>
              </w:rPr>
              <w:t>审查</w:t>
            </w:r>
          </w:p>
        </w:tc>
        <w:tc>
          <w:tcPr>
            <w:tcW w:w="2625" w:type="dxa"/>
            <w:vAlign w:val="center"/>
          </w:tcPr>
          <w:p w:rsidR="00B96774" w:rsidRDefault="007B15D1">
            <w:pPr>
              <w:spacing w:line="240" w:lineRule="exact"/>
              <w:jc w:val="left"/>
              <w:rPr>
                <w:rFonts w:ascii="Times New Roman" w:hAnsi="Times New Roman"/>
                <w:sz w:val="18"/>
                <w:szCs w:val="18"/>
              </w:rPr>
            </w:pPr>
            <w:r>
              <w:rPr>
                <w:rFonts w:ascii="Times New Roman" w:hAnsi="宋体" w:hint="eastAsia"/>
                <w:sz w:val="18"/>
                <w:szCs w:val="18"/>
              </w:rPr>
              <w:t>根据野生动物现有人工繁育技术现状</w:t>
            </w:r>
          </w:p>
        </w:tc>
      </w:tr>
      <w:tr w:rsidR="00B96774">
        <w:trPr>
          <w:trHeight w:val="1271"/>
        </w:trPr>
        <w:tc>
          <w:tcPr>
            <w:tcW w:w="552" w:type="dxa"/>
            <w:vAlign w:val="center"/>
          </w:tcPr>
          <w:p w:rsidR="00B96774" w:rsidRDefault="007B15D1">
            <w:pPr>
              <w:jc w:val="center"/>
            </w:pPr>
            <w:r>
              <w:rPr>
                <w:rFonts w:hint="eastAsia"/>
              </w:rPr>
              <w:t>4</w:t>
            </w:r>
          </w:p>
        </w:tc>
        <w:tc>
          <w:tcPr>
            <w:tcW w:w="1843" w:type="dxa"/>
            <w:vAlign w:val="center"/>
          </w:tcPr>
          <w:p w:rsidR="00B96774" w:rsidRDefault="007B15D1">
            <w:pPr>
              <w:spacing w:line="240" w:lineRule="exact"/>
              <w:jc w:val="left"/>
              <w:rPr>
                <w:rFonts w:ascii="Times New Roman" w:hAnsi="宋体"/>
                <w:sz w:val="18"/>
                <w:szCs w:val="18"/>
              </w:rPr>
            </w:pPr>
            <w:r>
              <w:rPr>
                <w:rFonts w:ascii="宋体" w:hAnsi="宋体" w:cs="宋体" w:hint="eastAsia"/>
                <w:kern w:val="0"/>
                <w:sz w:val="18"/>
                <w:szCs w:val="18"/>
              </w:rPr>
              <w:t>属于陆生野生动物外来物种的是否具有相应的安全防逃逸设备设施和管理技术、应急预案</w:t>
            </w:r>
          </w:p>
        </w:tc>
        <w:tc>
          <w:tcPr>
            <w:tcW w:w="1985" w:type="dxa"/>
            <w:vAlign w:val="center"/>
          </w:tcPr>
          <w:p w:rsidR="00B96774" w:rsidRDefault="007B15D1">
            <w:pPr>
              <w:spacing w:line="240" w:lineRule="exact"/>
              <w:jc w:val="center"/>
              <w:rPr>
                <w:rFonts w:ascii="Times New Roman" w:hAnsi="Times New Roman"/>
                <w:sz w:val="18"/>
                <w:szCs w:val="18"/>
              </w:rPr>
            </w:pPr>
            <w:r>
              <w:rPr>
                <w:rFonts w:ascii="Times New Roman" w:hAnsi="Times New Roman" w:hint="eastAsia"/>
                <w:sz w:val="18"/>
                <w:szCs w:val="18"/>
              </w:rPr>
              <w:t>防范措施</w:t>
            </w:r>
            <w:r w:rsidR="00781E5D">
              <w:rPr>
                <w:rFonts w:ascii="Times New Roman" w:hAnsi="Times New Roman" w:hint="eastAsia"/>
                <w:sz w:val="18"/>
                <w:szCs w:val="18"/>
              </w:rPr>
              <w:t>、技术装备、应急预案</w:t>
            </w:r>
          </w:p>
        </w:tc>
        <w:tc>
          <w:tcPr>
            <w:tcW w:w="1275" w:type="dxa"/>
            <w:vAlign w:val="center"/>
          </w:tcPr>
          <w:p w:rsidR="00B96774" w:rsidRDefault="007B15D1">
            <w:pPr>
              <w:spacing w:line="240" w:lineRule="exact"/>
              <w:jc w:val="center"/>
              <w:rPr>
                <w:rFonts w:ascii="Times New Roman" w:hAnsi="宋体"/>
                <w:sz w:val="18"/>
                <w:szCs w:val="18"/>
              </w:rPr>
            </w:pPr>
            <w:r>
              <w:rPr>
                <w:rFonts w:ascii="Times New Roman"/>
                <w:bCs/>
                <w:sz w:val="18"/>
                <w:szCs w:val="18"/>
              </w:rPr>
              <w:t>材料</w:t>
            </w:r>
            <w:r>
              <w:rPr>
                <w:rFonts w:ascii="Times New Roman" w:hint="eastAsia"/>
                <w:bCs/>
                <w:sz w:val="18"/>
                <w:szCs w:val="18"/>
              </w:rPr>
              <w:t>审查</w:t>
            </w:r>
          </w:p>
        </w:tc>
        <w:tc>
          <w:tcPr>
            <w:tcW w:w="2625" w:type="dxa"/>
            <w:vAlign w:val="center"/>
          </w:tcPr>
          <w:p w:rsidR="00B96774" w:rsidRDefault="00781E5D" w:rsidP="00781E5D">
            <w:pPr>
              <w:spacing w:line="240" w:lineRule="exact"/>
              <w:jc w:val="left"/>
              <w:rPr>
                <w:rFonts w:ascii="Times New Roman" w:hAnsi="宋体"/>
                <w:sz w:val="18"/>
                <w:szCs w:val="18"/>
              </w:rPr>
            </w:pPr>
            <w:r>
              <w:rPr>
                <w:rFonts w:ascii="Times New Roman" w:hAnsi="宋体" w:hint="eastAsia"/>
                <w:sz w:val="18"/>
                <w:szCs w:val="18"/>
              </w:rPr>
              <w:t>具备</w:t>
            </w:r>
            <w:r w:rsidR="007B15D1">
              <w:rPr>
                <w:rFonts w:ascii="Times New Roman" w:hAnsi="宋体" w:hint="eastAsia"/>
                <w:sz w:val="18"/>
                <w:szCs w:val="18"/>
              </w:rPr>
              <w:t>有效的防逃逸措施</w:t>
            </w:r>
            <w:r>
              <w:rPr>
                <w:rFonts w:ascii="Times New Roman" w:hAnsi="宋体" w:hint="eastAsia"/>
                <w:sz w:val="18"/>
                <w:szCs w:val="18"/>
              </w:rPr>
              <w:t>、</w:t>
            </w:r>
            <w:r>
              <w:rPr>
                <w:rFonts w:ascii="Times New Roman" w:hAnsi="Times New Roman" w:hint="eastAsia"/>
                <w:sz w:val="18"/>
                <w:szCs w:val="18"/>
              </w:rPr>
              <w:t>技术装备和应急预案</w:t>
            </w:r>
            <w:r w:rsidR="007B15D1">
              <w:rPr>
                <w:rFonts w:ascii="Times New Roman" w:hAnsi="宋体" w:hint="eastAsia"/>
                <w:sz w:val="18"/>
                <w:szCs w:val="18"/>
              </w:rPr>
              <w:t>的，通过审查</w:t>
            </w:r>
            <w:bookmarkStart w:id="0" w:name="_GoBack"/>
            <w:bookmarkEnd w:id="0"/>
          </w:p>
        </w:tc>
      </w:tr>
    </w:tbl>
    <w:p w:rsidR="00B96774" w:rsidRDefault="00B96774"/>
    <w:sectPr w:rsidR="00B96774" w:rsidSect="00B967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D1" w:rsidRDefault="007B15D1" w:rsidP="00781E5D">
      <w:r>
        <w:separator/>
      </w:r>
    </w:p>
  </w:endnote>
  <w:endnote w:type="continuationSeparator" w:id="0">
    <w:p w:rsidR="007B15D1" w:rsidRDefault="007B15D1" w:rsidP="00781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D1" w:rsidRDefault="007B15D1" w:rsidP="00781E5D">
      <w:r>
        <w:separator/>
      </w:r>
    </w:p>
  </w:footnote>
  <w:footnote w:type="continuationSeparator" w:id="0">
    <w:p w:rsidR="007B15D1" w:rsidRDefault="007B15D1" w:rsidP="00781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D76"/>
    <w:rsid w:val="0000099F"/>
    <w:rsid w:val="00015F11"/>
    <w:rsid w:val="0001607E"/>
    <w:rsid w:val="00017DA8"/>
    <w:rsid w:val="0003019D"/>
    <w:rsid w:val="00055B14"/>
    <w:rsid w:val="00064EC9"/>
    <w:rsid w:val="0007142F"/>
    <w:rsid w:val="00076F8A"/>
    <w:rsid w:val="000A1BD0"/>
    <w:rsid w:val="000E1CDE"/>
    <w:rsid w:val="000E5F72"/>
    <w:rsid w:val="00147643"/>
    <w:rsid w:val="00160C8D"/>
    <w:rsid w:val="00164D4B"/>
    <w:rsid w:val="00165D76"/>
    <w:rsid w:val="001860AF"/>
    <w:rsid w:val="001A0A44"/>
    <w:rsid w:val="001A385D"/>
    <w:rsid w:val="001A5D77"/>
    <w:rsid w:val="001B07C2"/>
    <w:rsid w:val="001B2156"/>
    <w:rsid w:val="001E200F"/>
    <w:rsid w:val="001E4E20"/>
    <w:rsid w:val="00212084"/>
    <w:rsid w:val="002209D0"/>
    <w:rsid w:val="00225777"/>
    <w:rsid w:val="00233AAF"/>
    <w:rsid w:val="0024328B"/>
    <w:rsid w:val="0024540F"/>
    <w:rsid w:val="00250A23"/>
    <w:rsid w:val="0028782C"/>
    <w:rsid w:val="00293EDF"/>
    <w:rsid w:val="002B1A12"/>
    <w:rsid w:val="002B6120"/>
    <w:rsid w:val="002C2DF5"/>
    <w:rsid w:val="002C5275"/>
    <w:rsid w:val="002D1163"/>
    <w:rsid w:val="002E0779"/>
    <w:rsid w:val="002E6882"/>
    <w:rsid w:val="002F0AAC"/>
    <w:rsid w:val="002F689E"/>
    <w:rsid w:val="00306348"/>
    <w:rsid w:val="00330D20"/>
    <w:rsid w:val="00334A89"/>
    <w:rsid w:val="003411DA"/>
    <w:rsid w:val="00354B93"/>
    <w:rsid w:val="00356FEC"/>
    <w:rsid w:val="00363456"/>
    <w:rsid w:val="00374F65"/>
    <w:rsid w:val="00390B64"/>
    <w:rsid w:val="00393373"/>
    <w:rsid w:val="003C6212"/>
    <w:rsid w:val="003C7D0C"/>
    <w:rsid w:val="003D2338"/>
    <w:rsid w:val="003F46DF"/>
    <w:rsid w:val="00430716"/>
    <w:rsid w:val="0043175F"/>
    <w:rsid w:val="00435622"/>
    <w:rsid w:val="00440B71"/>
    <w:rsid w:val="00454DB4"/>
    <w:rsid w:val="00462362"/>
    <w:rsid w:val="00466445"/>
    <w:rsid w:val="00471A23"/>
    <w:rsid w:val="00480C2E"/>
    <w:rsid w:val="00482F18"/>
    <w:rsid w:val="0049315E"/>
    <w:rsid w:val="004A6C1E"/>
    <w:rsid w:val="004C6AA6"/>
    <w:rsid w:val="004E68E7"/>
    <w:rsid w:val="004F0205"/>
    <w:rsid w:val="004F50C7"/>
    <w:rsid w:val="005173CD"/>
    <w:rsid w:val="00522CE4"/>
    <w:rsid w:val="00522D60"/>
    <w:rsid w:val="00524912"/>
    <w:rsid w:val="00524D31"/>
    <w:rsid w:val="0055629F"/>
    <w:rsid w:val="00564E15"/>
    <w:rsid w:val="00565497"/>
    <w:rsid w:val="0057002D"/>
    <w:rsid w:val="00575137"/>
    <w:rsid w:val="00593C6B"/>
    <w:rsid w:val="00594791"/>
    <w:rsid w:val="005A1026"/>
    <w:rsid w:val="005B35B3"/>
    <w:rsid w:val="005B6DE5"/>
    <w:rsid w:val="005C61A2"/>
    <w:rsid w:val="005E5AC3"/>
    <w:rsid w:val="005E78CD"/>
    <w:rsid w:val="005F0D8E"/>
    <w:rsid w:val="005F4127"/>
    <w:rsid w:val="00606004"/>
    <w:rsid w:val="00622093"/>
    <w:rsid w:val="006358AF"/>
    <w:rsid w:val="00664EF5"/>
    <w:rsid w:val="006668E0"/>
    <w:rsid w:val="00672168"/>
    <w:rsid w:val="00672632"/>
    <w:rsid w:val="006746BB"/>
    <w:rsid w:val="006761DE"/>
    <w:rsid w:val="00677F92"/>
    <w:rsid w:val="00684B6D"/>
    <w:rsid w:val="00694B34"/>
    <w:rsid w:val="006A1DA1"/>
    <w:rsid w:val="006B35E8"/>
    <w:rsid w:val="006B580D"/>
    <w:rsid w:val="006C1346"/>
    <w:rsid w:val="006D598C"/>
    <w:rsid w:val="006E0003"/>
    <w:rsid w:val="006E5398"/>
    <w:rsid w:val="006F01FA"/>
    <w:rsid w:val="006F6ED3"/>
    <w:rsid w:val="00721232"/>
    <w:rsid w:val="00733404"/>
    <w:rsid w:val="007443B5"/>
    <w:rsid w:val="00744455"/>
    <w:rsid w:val="00754B6A"/>
    <w:rsid w:val="007636D6"/>
    <w:rsid w:val="00781E5D"/>
    <w:rsid w:val="007832C1"/>
    <w:rsid w:val="007A1843"/>
    <w:rsid w:val="007A1E34"/>
    <w:rsid w:val="007B15D1"/>
    <w:rsid w:val="007B6DBA"/>
    <w:rsid w:val="007C1494"/>
    <w:rsid w:val="007C373A"/>
    <w:rsid w:val="007C7C2D"/>
    <w:rsid w:val="007D2DD4"/>
    <w:rsid w:val="007E2688"/>
    <w:rsid w:val="007E4CBC"/>
    <w:rsid w:val="00804A19"/>
    <w:rsid w:val="00805191"/>
    <w:rsid w:val="0082093C"/>
    <w:rsid w:val="00824820"/>
    <w:rsid w:val="00826402"/>
    <w:rsid w:val="00831B4A"/>
    <w:rsid w:val="00833CC2"/>
    <w:rsid w:val="00847700"/>
    <w:rsid w:val="00851E14"/>
    <w:rsid w:val="00852817"/>
    <w:rsid w:val="00867A97"/>
    <w:rsid w:val="00872A79"/>
    <w:rsid w:val="00883091"/>
    <w:rsid w:val="00890909"/>
    <w:rsid w:val="00894D55"/>
    <w:rsid w:val="008B0D7F"/>
    <w:rsid w:val="008B20BE"/>
    <w:rsid w:val="008C44DB"/>
    <w:rsid w:val="008C4845"/>
    <w:rsid w:val="008D0B1A"/>
    <w:rsid w:val="008E155C"/>
    <w:rsid w:val="0090359A"/>
    <w:rsid w:val="00911B35"/>
    <w:rsid w:val="00912FED"/>
    <w:rsid w:val="00927AB5"/>
    <w:rsid w:val="0096772E"/>
    <w:rsid w:val="00982EAD"/>
    <w:rsid w:val="00985186"/>
    <w:rsid w:val="009C4522"/>
    <w:rsid w:val="009D0F24"/>
    <w:rsid w:val="009D449D"/>
    <w:rsid w:val="009F2D97"/>
    <w:rsid w:val="009F773E"/>
    <w:rsid w:val="00A0324F"/>
    <w:rsid w:val="00A04CE4"/>
    <w:rsid w:val="00A0713D"/>
    <w:rsid w:val="00A2494A"/>
    <w:rsid w:val="00A27E39"/>
    <w:rsid w:val="00A31267"/>
    <w:rsid w:val="00A31319"/>
    <w:rsid w:val="00A43B02"/>
    <w:rsid w:val="00A50B63"/>
    <w:rsid w:val="00A578D5"/>
    <w:rsid w:val="00A60B48"/>
    <w:rsid w:val="00A67F95"/>
    <w:rsid w:val="00A74E18"/>
    <w:rsid w:val="00A779CE"/>
    <w:rsid w:val="00A8216C"/>
    <w:rsid w:val="00A8603D"/>
    <w:rsid w:val="00AA26C1"/>
    <w:rsid w:val="00AB16E5"/>
    <w:rsid w:val="00AD63FE"/>
    <w:rsid w:val="00AE6BBC"/>
    <w:rsid w:val="00AE6C94"/>
    <w:rsid w:val="00AF26A8"/>
    <w:rsid w:val="00AF6B96"/>
    <w:rsid w:val="00B004D5"/>
    <w:rsid w:val="00B02715"/>
    <w:rsid w:val="00B04544"/>
    <w:rsid w:val="00B141BC"/>
    <w:rsid w:val="00B213A2"/>
    <w:rsid w:val="00B35C49"/>
    <w:rsid w:val="00B41D8E"/>
    <w:rsid w:val="00B53799"/>
    <w:rsid w:val="00B5420E"/>
    <w:rsid w:val="00B545CC"/>
    <w:rsid w:val="00B96774"/>
    <w:rsid w:val="00B97DF9"/>
    <w:rsid w:val="00BA34BE"/>
    <w:rsid w:val="00BA54F3"/>
    <w:rsid w:val="00BA62CA"/>
    <w:rsid w:val="00BC3137"/>
    <w:rsid w:val="00BD2098"/>
    <w:rsid w:val="00BD4848"/>
    <w:rsid w:val="00BE1129"/>
    <w:rsid w:val="00BE721E"/>
    <w:rsid w:val="00BF539A"/>
    <w:rsid w:val="00C236DC"/>
    <w:rsid w:val="00C3024A"/>
    <w:rsid w:val="00C36585"/>
    <w:rsid w:val="00C424A8"/>
    <w:rsid w:val="00C43D7D"/>
    <w:rsid w:val="00C46C84"/>
    <w:rsid w:val="00C64148"/>
    <w:rsid w:val="00C74365"/>
    <w:rsid w:val="00C82CB1"/>
    <w:rsid w:val="00C84966"/>
    <w:rsid w:val="00CB0DF6"/>
    <w:rsid w:val="00CB12DD"/>
    <w:rsid w:val="00CB624D"/>
    <w:rsid w:val="00CC37D8"/>
    <w:rsid w:val="00CC65BF"/>
    <w:rsid w:val="00D04763"/>
    <w:rsid w:val="00D052C9"/>
    <w:rsid w:val="00D1450A"/>
    <w:rsid w:val="00D22626"/>
    <w:rsid w:val="00D34ECF"/>
    <w:rsid w:val="00D37693"/>
    <w:rsid w:val="00D43B9E"/>
    <w:rsid w:val="00D44DE9"/>
    <w:rsid w:val="00D474C6"/>
    <w:rsid w:val="00D61C1D"/>
    <w:rsid w:val="00D7308D"/>
    <w:rsid w:val="00D934F7"/>
    <w:rsid w:val="00DA12D3"/>
    <w:rsid w:val="00DA390C"/>
    <w:rsid w:val="00DD18B9"/>
    <w:rsid w:val="00DE7839"/>
    <w:rsid w:val="00DF6CBC"/>
    <w:rsid w:val="00E00AC7"/>
    <w:rsid w:val="00E03ACA"/>
    <w:rsid w:val="00E16C33"/>
    <w:rsid w:val="00E42AA4"/>
    <w:rsid w:val="00E538E8"/>
    <w:rsid w:val="00E65DD3"/>
    <w:rsid w:val="00E701CE"/>
    <w:rsid w:val="00E761B5"/>
    <w:rsid w:val="00E95B2C"/>
    <w:rsid w:val="00EA778F"/>
    <w:rsid w:val="00EB0111"/>
    <w:rsid w:val="00EB1C8D"/>
    <w:rsid w:val="00EB6734"/>
    <w:rsid w:val="00EC39E8"/>
    <w:rsid w:val="00EC6F27"/>
    <w:rsid w:val="00ED55A9"/>
    <w:rsid w:val="00ED582B"/>
    <w:rsid w:val="00EE2C87"/>
    <w:rsid w:val="00EE55E0"/>
    <w:rsid w:val="00EF7AC8"/>
    <w:rsid w:val="00F0095F"/>
    <w:rsid w:val="00F031D1"/>
    <w:rsid w:val="00F04B3E"/>
    <w:rsid w:val="00F0545B"/>
    <w:rsid w:val="00F1327D"/>
    <w:rsid w:val="00F14E63"/>
    <w:rsid w:val="00F21FDB"/>
    <w:rsid w:val="00F33A9D"/>
    <w:rsid w:val="00F45F10"/>
    <w:rsid w:val="00F52FBA"/>
    <w:rsid w:val="00F73627"/>
    <w:rsid w:val="00F82C54"/>
    <w:rsid w:val="00F92CC1"/>
    <w:rsid w:val="00FA4774"/>
    <w:rsid w:val="00FA5C26"/>
    <w:rsid w:val="00FB5630"/>
    <w:rsid w:val="00FF742E"/>
    <w:rsid w:val="2FF44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9677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967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96774"/>
    <w:rPr>
      <w:sz w:val="18"/>
      <w:szCs w:val="18"/>
    </w:rPr>
  </w:style>
  <w:style w:type="character" w:customStyle="1" w:styleId="Char">
    <w:name w:val="页脚 Char"/>
    <w:basedOn w:val="a0"/>
    <w:link w:val="a3"/>
    <w:uiPriority w:val="99"/>
    <w:semiHidden/>
    <w:qFormat/>
    <w:rsid w:val="00B96774"/>
    <w:rPr>
      <w:sz w:val="18"/>
      <w:szCs w:val="18"/>
    </w:rPr>
  </w:style>
  <w:style w:type="paragraph" w:styleId="a5">
    <w:name w:val="Balloon Text"/>
    <w:basedOn w:val="a"/>
    <w:link w:val="Char1"/>
    <w:uiPriority w:val="99"/>
    <w:semiHidden/>
    <w:unhideWhenUsed/>
    <w:rsid w:val="00781E5D"/>
    <w:rPr>
      <w:sz w:val="18"/>
      <w:szCs w:val="18"/>
    </w:rPr>
  </w:style>
  <w:style w:type="character" w:customStyle="1" w:styleId="Char1">
    <w:name w:val="批注框文本 Char"/>
    <w:basedOn w:val="a0"/>
    <w:link w:val="a5"/>
    <w:uiPriority w:val="99"/>
    <w:semiHidden/>
    <w:rsid w:val="00781E5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Company>CHINA</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cp:revision>
  <dcterms:created xsi:type="dcterms:W3CDTF">2018-01-25T04:02:00Z</dcterms:created>
  <dcterms:modified xsi:type="dcterms:W3CDTF">2018-05-14T08:15:00Z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